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BuyHalfCow, you agree to the following: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BuyHalfCow is a marketing and customer acquisition platform that connects consumers with independent ranchers.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BuyHalfCow: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Does not take title to livestock or meat products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process, store, or ship meat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guarantee availability or delivery timelines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not act as a livestock broker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products are produced, processed, and fulfilled solely by independent ranch partners.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BuyHalfCow is not responsible for: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Product quality disputes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Processing delays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Shipping issues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Refund decisions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Transactions may be processed through BuyHalfCow or directly with the rancher. Regardless of payment method, fulfillment responsibility remains with the rancher.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products are provided “AS IS” without warranties from BuyHalfCow.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submitting a purchase inquiry or completing a transaction, you acknowledge that BuyHalfCow acts solely as a marketing and referral platform.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Governing law: Colorado.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